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ECFF">
    <v:background id="_x0000_s1025" o:bwmode="white" fillcolor="#ccecff">
      <v:fill r:id="rId5" o:title="Волны" type="pattern"/>
    </v:background>
  </w:background>
  <w:body>
    <w:p w:rsidR="00065DBB" w:rsidRDefault="00065DBB" w:rsidP="00F33B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8279"/>
      </w:tblGrid>
      <w:tr w:rsidR="00F33BFA" w:rsidTr="0052286A">
        <w:trPr>
          <w:trHeight w:val="1988"/>
        </w:trPr>
        <w:tc>
          <w:tcPr>
            <w:tcW w:w="1985" w:type="dxa"/>
          </w:tcPr>
          <w:p w:rsidR="00F33BFA" w:rsidRDefault="00F33BFA" w:rsidP="00F33BFA">
            <w:pPr>
              <w:ind w:righ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55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3120" behindDoc="1" locked="0" layoutInCell="1" allowOverlap="1" wp14:anchorId="2CF4E881" wp14:editId="4A885668">
                  <wp:simplePos x="0" y="0"/>
                  <wp:positionH relativeFrom="margin">
                    <wp:posOffset>111125</wp:posOffset>
                  </wp:positionH>
                  <wp:positionV relativeFrom="margin">
                    <wp:posOffset>118745</wp:posOffset>
                  </wp:positionV>
                  <wp:extent cx="942975" cy="938530"/>
                  <wp:effectExtent l="0" t="0" r="9525" b="0"/>
                  <wp:wrapSquare wrapText="bothSides"/>
                  <wp:docPr id="7" name="Рисунок 7" descr="G:\CorelDRAW X3 Graph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G:\CorelDRAW X3 Graph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38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79" w:type="dxa"/>
          </w:tcPr>
          <w:p w:rsidR="00F33BFA" w:rsidRPr="0083727F" w:rsidRDefault="00F33BFA" w:rsidP="0083727F">
            <w:pPr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</w:pP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Муниципальное бюджетное образовательное учреждение </w:t>
            </w: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дополнительного образования</w:t>
            </w:r>
          </w:p>
          <w:p w:rsidR="00F33BFA" w:rsidRPr="0048112F" w:rsidRDefault="00F33BFA" w:rsidP="0083727F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«Детский морской центр «Североморец»</w:t>
            </w: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90395" w:rsidRPr="00607959" w:rsidRDefault="00690395" w:rsidP="004811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объединения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: </w:t>
      </w:r>
      <w:r w:rsidRPr="00B06928">
        <w:rPr>
          <w:rFonts w:ascii="Times New Roman" w:hAnsi="Times New Roman"/>
          <w:sz w:val="24"/>
          <w:szCs w:val="24"/>
        </w:rPr>
        <w:t>«</w:t>
      </w:r>
      <w:r w:rsidR="000E4A5B">
        <w:rPr>
          <w:rFonts w:ascii="Times New Roman" w:hAnsi="Times New Roman"/>
          <w:sz w:val="24"/>
          <w:szCs w:val="24"/>
        </w:rPr>
        <w:t xml:space="preserve">Н О </w:t>
      </w:r>
      <w:proofErr w:type="gramStart"/>
      <w:r w:rsidR="000E4A5B">
        <w:rPr>
          <w:rFonts w:ascii="Times New Roman" w:hAnsi="Times New Roman"/>
          <w:sz w:val="24"/>
          <w:szCs w:val="24"/>
        </w:rPr>
        <w:t>Р</w:t>
      </w:r>
      <w:proofErr w:type="gramEnd"/>
      <w:r w:rsidR="000E4A5B">
        <w:rPr>
          <w:rFonts w:ascii="Times New Roman" w:hAnsi="Times New Roman"/>
          <w:sz w:val="24"/>
          <w:szCs w:val="24"/>
        </w:rPr>
        <w:t xml:space="preserve"> Д</w:t>
      </w:r>
      <w:r w:rsidRPr="00B06928">
        <w:rPr>
          <w:rFonts w:ascii="Times New Roman" w:hAnsi="Times New Roman"/>
          <w:sz w:val="24"/>
          <w:szCs w:val="24"/>
        </w:rPr>
        <w:t>»</w:t>
      </w:r>
    </w:p>
    <w:p w:rsid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образовательной программы полное и сокращенное: </w:t>
      </w:r>
      <w:proofErr w:type="gramStart"/>
      <w:r w:rsidRPr="00B06928">
        <w:rPr>
          <w:rFonts w:ascii="Times New Roman" w:hAnsi="Times New Roman"/>
          <w:sz w:val="24"/>
          <w:szCs w:val="24"/>
        </w:rPr>
        <w:t>дополнительная</w:t>
      </w:r>
      <w:proofErr w:type="gramEnd"/>
      <w:r w:rsidRPr="00B069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>общеобразовательная программа  «</w:t>
      </w:r>
      <w:r w:rsidR="000E4A5B">
        <w:rPr>
          <w:rFonts w:ascii="Times New Roman" w:hAnsi="Times New Roman"/>
          <w:sz w:val="24"/>
          <w:szCs w:val="24"/>
        </w:rPr>
        <w:t>Норд» (</w:t>
      </w:r>
      <w:r w:rsidR="00475BEE">
        <w:rPr>
          <w:rFonts w:ascii="Times New Roman" w:hAnsi="Times New Roman"/>
          <w:sz w:val="24"/>
          <w:szCs w:val="24"/>
        </w:rPr>
        <w:t>Основы военно-</w:t>
      </w:r>
      <w:r w:rsidR="000E4A5B">
        <w:rPr>
          <w:rFonts w:ascii="Times New Roman" w:hAnsi="Times New Roman"/>
          <w:sz w:val="24"/>
          <w:szCs w:val="24"/>
        </w:rPr>
        <w:t>морского дела)</w:t>
      </w:r>
      <w:r w:rsidR="00475BEE"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Категория потребителей: </w:t>
      </w:r>
      <w:r w:rsidRPr="00B06928">
        <w:rPr>
          <w:rFonts w:ascii="Times New Roman" w:hAnsi="Times New Roman"/>
          <w:sz w:val="24"/>
          <w:szCs w:val="24"/>
        </w:rPr>
        <w:t>возраст учащихся: 11-1</w:t>
      </w:r>
      <w:r w:rsidR="000E4A5B">
        <w:rPr>
          <w:rFonts w:ascii="Times New Roman" w:hAnsi="Times New Roman"/>
          <w:sz w:val="24"/>
          <w:szCs w:val="24"/>
        </w:rPr>
        <w:t>4</w:t>
      </w:r>
      <w:r w:rsidRPr="00B06928">
        <w:rPr>
          <w:rFonts w:ascii="Times New Roman" w:hAnsi="Times New Roman"/>
          <w:sz w:val="24"/>
          <w:szCs w:val="24"/>
        </w:rPr>
        <w:t xml:space="preserve"> лет</w:t>
      </w:r>
      <w:r w:rsidR="000E4A5B"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Направленность образовательной программы: </w:t>
      </w:r>
      <w:r w:rsidRPr="00B06928">
        <w:rPr>
          <w:rFonts w:ascii="Times New Roman" w:hAnsi="Times New Roman"/>
          <w:sz w:val="24"/>
          <w:szCs w:val="24"/>
        </w:rPr>
        <w:t>социально-педагогическая</w:t>
      </w:r>
      <w:r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Форм</w:t>
      </w:r>
      <w:r w:rsidR="00475BEE">
        <w:rPr>
          <w:rFonts w:ascii="Times New Roman" w:hAnsi="Times New Roman"/>
          <w:b/>
          <w:color w:val="244061" w:themeColor="accent1" w:themeShade="80"/>
          <w:sz w:val="24"/>
          <w:szCs w:val="24"/>
        </w:rPr>
        <w:t>а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образования: </w:t>
      </w:r>
      <w:r w:rsidRPr="00B06928">
        <w:rPr>
          <w:rFonts w:ascii="Times New Roman" w:hAnsi="Times New Roman"/>
          <w:sz w:val="24"/>
          <w:szCs w:val="24"/>
        </w:rPr>
        <w:t>очная</w:t>
      </w:r>
      <w:r>
        <w:rPr>
          <w:rFonts w:ascii="Times New Roman" w:hAnsi="Times New Roman"/>
          <w:sz w:val="24"/>
          <w:szCs w:val="24"/>
        </w:rPr>
        <w:t>.</w:t>
      </w:r>
    </w:p>
    <w:p w:rsid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Платность:</w:t>
      </w:r>
      <w:r w:rsidRPr="00B06928"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>оказывается на бесплатной основе</w:t>
      </w:r>
      <w:r>
        <w:rPr>
          <w:rFonts w:ascii="Times New Roman" w:hAnsi="Times New Roman"/>
          <w:sz w:val="24"/>
          <w:szCs w:val="24"/>
        </w:rPr>
        <w:t>.</w:t>
      </w:r>
    </w:p>
    <w:p w:rsidR="00A87873" w:rsidRPr="000E4A5B" w:rsidRDefault="000E4A5B" w:rsidP="000E4A5B">
      <w:pPr>
        <w:spacing w:after="0" w:line="240" w:lineRule="auto"/>
        <w:ind w:left="-9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Pr="000E4A5B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Краткое содержание программы: </w:t>
      </w:r>
    </w:p>
    <w:p w:rsidR="000E4A5B" w:rsidRPr="00607959" w:rsidRDefault="000E4A5B" w:rsidP="000E4A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Дополнительная общеобразовательная программа является общеразвивающей и </w:t>
      </w:r>
      <w:r w:rsidRPr="00607959">
        <w:rPr>
          <w:rFonts w:ascii="Times New Roman" w:hAnsi="Times New Roman"/>
          <w:sz w:val="24"/>
          <w:szCs w:val="24"/>
        </w:rPr>
        <w:t>соответствует современным образовательным технологиям, которые отражены в принципах индивидуальности, доступности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607959">
        <w:rPr>
          <w:rFonts w:ascii="Times New Roman" w:hAnsi="Times New Roman"/>
          <w:sz w:val="24"/>
          <w:szCs w:val="24"/>
        </w:rPr>
        <w:t xml:space="preserve">результативности. </w:t>
      </w:r>
      <w:r w:rsidRPr="00325B92">
        <w:rPr>
          <w:rFonts w:ascii="Times New Roman" w:hAnsi="Times New Roman"/>
          <w:sz w:val="24"/>
          <w:szCs w:val="24"/>
        </w:rPr>
        <w:t>Целью программы</w:t>
      </w:r>
      <w:r w:rsidRPr="00325B92">
        <w:rPr>
          <w:rFonts w:ascii="Times New Roman" w:hAnsi="Times New Roman"/>
          <w:i/>
          <w:sz w:val="24"/>
          <w:szCs w:val="24"/>
        </w:rPr>
        <w:t xml:space="preserve"> </w:t>
      </w:r>
      <w:r w:rsidRPr="00325B92">
        <w:rPr>
          <w:rFonts w:ascii="Times New Roman" w:hAnsi="Times New Roman"/>
          <w:sz w:val="24"/>
          <w:szCs w:val="24"/>
        </w:rPr>
        <w:t>является создание условий</w:t>
      </w:r>
      <w:r w:rsidRPr="00607959">
        <w:rPr>
          <w:rFonts w:ascii="Times New Roman" w:hAnsi="Times New Roman"/>
          <w:sz w:val="24"/>
          <w:szCs w:val="24"/>
        </w:rPr>
        <w:t xml:space="preserve"> для изучения детьми истории, традиций Военно-Морского флота России, основ морского дела.</w:t>
      </w:r>
    </w:p>
    <w:p w:rsidR="000E4A5B" w:rsidRPr="00607959" w:rsidRDefault="000E4A5B" w:rsidP="000E4A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607959">
        <w:rPr>
          <w:rFonts w:ascii="Times New Roman" w:hAnsi="Times New Roman"/>
          <w:sz w:val="24"/>
          <w:szCs w:val="24"/>
        </w:rPr>
        <w:t xml:space="preserve">рограмма направлена на военно-патриотическое воспитание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607959">
        <w:rPr>
          <w:rFonts w:ascii="Times New Roman" w:hAnsi="Times New Roman"/>
          <w:sz w:val="24"/>
          <w:szCs w:val="24"/>
        </w:rPr>
        <w:t xml:space="preserve">. Практическая значимость данной программы предполагает овладение флажным семафором, вязание основных морских узлов, овладение знаниями устройства автомата Калашникова, стрельбой из пневматической винтовки, знаниями устройства шестивесельного яла, его снабжения. Помимо этого, </w:t>
      </w:r>
      <w:r>
        <w:rPr>
          <w:rFonts w:ascii="Times New Roman" w:hAnsi="Times New Roman"/>
          <w:sz w:val="24"/>
          <w:szCs w:val="24"/>
        </w:rPr>
        <w:t>обучающиеся</w:t>
      </w:r>
      <w:r w:rsidRPr="00607959">
        <w:rPr>
          <w:rFonts w:ascii="Times New Roman" w:hAnsi="Times New Roman"/>
          <w:sz w:val="24"/>
          <w:szCs w:val="24"/>
        </w:rPr>
        <w:t xml:space="preserve"> изучат исторические события отечественного флота, </w:t>
      </w:r>
      <w:r>
        <w:rPr>
          <w:rFonts w:ascii="Times New Roman" w:hAnsi="Times New Roman"/>
          <w:sz w:val="24"/>
          <w:szCs w:val="24"/>
        </w:rPr>
        <w:t xml:space="preserve">победы флота России под руководством </w:t>
      </w:r>
      <w:r w:rsidRPr="00607959">
        <w:rPr>
          <w:rFonts w:ascii="Times New Roman" w:hAnsi="Times New Roman"/>
          <w:sz w:val="24"/>
          <w:szCs w:val="24"/>
        </w:rPr>
        <w:t xml:space="preserve">знаменитых флотоводцев, </w:t>
      </w:r>
      <w:r>
        <w:rPr>
          <w:rFonts w:ascii="Times New Roman" w:hAnsi="Times New Roman"/>
          <w:sz w:val="24"/>
          <w:szCs w:val="24"/>
        </w:rPr>
        <w:t xml:space="preserve">открытия российских </w:t>
      </w:r>
      <w:r w:rsidRPr="00607959">
        <w:rPr>
          <w:rFonts w:ascii="Times New Roman" w:hAnsi="Times New Roman"/>
          <w:sz w:val="24"/>
          <w:szCs w:val="24"/>
        </w:rPr>
        <w:t>мореплавателей; обучатся простейшим элементам строевой подготовки, которые необходимо рассматривать как инструмент, позволяющий эффективно управлять группой курсантов и соблюдать установленные в Детском морском центре и на кораблях установленные правила.</w:t>
      </w:r>
    </w:p>
    <w:p w:rsidR="000E4A5B" w:rsidRPr="00607959" w:rsidRDefault="000E4A5B" w:rsidP="000E4A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7959">
        <w:rPr>
          <w:rFonts w:ascii="Times New Roman" w:hAnsi="Times New Roman"/>
          <w:sz w:val="24"/>
          <w:szCs w:val="24"/>
        </w:rPr>
        <w:t>Программа рассчитана на 2 года и предполагает базовый уровень освоения.</w:t>
      </w:r>
    </w:p>
    <w:p w:rsidR="000E4A5B" w:rsidRPr="00607959" w:rsidRDefault="000E4A5B" w:rsidP="000E4A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959">
        <w:rPr>
          <w:rFonts w:ascii="Times New Roman" w:hAnsi="Times New Roman"/>
          <w:sz w:val="24"/>
          <w:szCs w:val="24"/>
        </w:rPr>
        <w:t>Учащийся сможет реализовать полученные знания и навыки, участвуя в соревнованиях городского и регионального масштаба.</w:t>
      </w:r>
      <w:r>
        <w:rPr>
          <w:rFonts w:ascii="Times New Roman" w:hAnsi="Times New Roman"/>
          <w:sz w:val="24"/>
          <w:szCs w:val="24"/>
        </w:rPr>
        <w:t xml:space="preserve"> Обучающиеся</w:t>
      </w:r>
      <w:r w:rsidRPr="00607959">
        <w:rPr>
          <w:rFonts w:ascii="Times New Roman" w:hAnsi="Times New Roman"/>
          <w:sz w:val="24"/>
          <w:szCs w:val="24"/>
        </w:rPr>
        <w:t xml:space="preserve"> получают знания и навыки военно-морского дела, стрелковой подготовки, шлюпочного и такелажного дела, умеют работать в экипаже (команде).</w:t>
      </w:r>
    </w:p>
    <w:p w:rsidR="00B06928" w:rsidRPr="00B06928" w:rsidRDefault="00B06928" w:rsidP="00B069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Педагог, работающий по программе:</w:t>
      </w:r>
      <w:r w:rsidR="000E4A5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E4A5B">
        <w:rPr>
          <w:rFonts w:ascii="Times New Roman" w:hAnsi="Times New Roman"/>
          <w:sz w:val="24"/>
          <w:szCs w:val="24"/>
        </w:rPr>
        <w:t>Шуляк</w:t>
      </w:r>
      <w:proofErr w:type="spellEnd"/>
      <w:r w:rsidR="000E4A5B">
        <w:rPr>
          <w:rFonts w:ascii="Times New Roman" w:hAnsi="Times New Roman"/>
          <w:sz w:val="24"/>
          <w:szCs w:val="24"/>
        </w:rPr>
        <w:t xml:space="preserve"> Вадим Евгеньевич, высшее образование, педагогический стаж 28 лет.</w:t>
      </w:r>
    </w:p>
    <w:p w:rsidR="00B06928" w:rsidRPr="00B06928" w:rsidRDefault="00B06928" w:rsidP="00B069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627E" w:rsidRPr="00607959" w:rsidRDefault="00B06928" w:rsidP="00F33BFA">
      <w:pPr>
        <w:spacing w:after="0" w:line="240" w:lineRule="auto"/>
        <w:ind w:left="-9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</w:p>
    <w:p w:rsidR="0083727F" w:rsidRDefault="000E4A5B" w:rsidP="00A87873">
      <w:pPr>
        <w:spacing w:after="0" w:line="240" w:lineRule="auto"/>
        <w:ind w:left="-9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149F9" w:rsidRPr="005E0D51" w:rsidRDefault="000677E8" w:rsidP="000677E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133600" cy="1733550"/>
            <wp:effectExtent l="0" t="0" r="0" b="0"/>
            <wp:docPr id="1" name="Рисунок 1" descr="D:\картинки1\картин(4)\s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картинки1\картин(4)\ss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149F9" w:rsidRPr="005E0D51" w:rsidSect="0048112F">
      <w:pgSz w:w="11906" w:h="16838"/>
      <w:pgMar w:top="900" w:right="850" w:bottom="720" w:left="9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D624B"/>
    <w:multiLevelType w:val="hybridMultilevel"/>
    <w:tmpl w:val="2B6C5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CB4630"/>
    <w:multiLevelType w:val="hybridMultilevel"/>
    <w:tmpl w:val="C2C8FB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B46369"/>
    <w:multiLevelType w:val="hybridMultilevel"/>
    <w:tmpl w:val="19D20F9E"/>
    <w:lvl w:ilvl="0" w:tplc="F1609F56">
      <w:start w:val="1"/>
      <w:numFmt w:val="decimal"/>
      <w:lvlText w:val="%1)"/>
      <w:lvlJc w:val="left"/>
      <w:pPr>
        <w:ind w:left="2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8E4"/>
    <w:rsid w:val="00002210"/>
    <w:rsid w:val="000149F9"/>
    <w:rsid w:val="00037C65"/>
    <w:rsid w:val="000557A6"/>
    <w:rsid w:val="00065DBB"/>
    <w:rsid w:val="000677E8"/>
    <w:rsid w:val="000E4A5B"/>
    <w:rsid w:val="0012018A"/>
    <w:rsid w:val="001E59C4"/>
    <w:rsid w:val="0020772C"/>
    <w:rsid w:val="002573E5"/>
    <w:rsid w:val="002D627E"/>
    <w:rsid w:val="003437EE"/>
    <w:rsid w:val="00353B19"/>
    <w:rsid w:val="00375133"/>
    <w:rsid w:val="00411456"/>
    <w:rsid w:val="004618FA"/>
    <w:rsid w:val="00475BEE"/>
    <w:rsid w:val="0048112F"/>
    <w:rsid w:val="00485E2C"/>
    <w:rsid w:val="004A2668"/>
    <w:rsid w:val="004D7B90"/>
    <w:rsid w:val="0052286A"/>
    <w:rsid w:val="00554553"/>
    <w:rsid w:val="005552DB"/>
    <w:rsid w:val="00567F33"/>
    <w:rsid w:val="005975E2"/>
    <w:rsid w:val="005E0D51"/>
    <w:rsid w:val="005F48E4"/>
    <w:rsid w:val="00607959"/>
    <w:rsid w:val="00621EE8"/>
    <w:rsid w:val="00644086"/>
    <w:rsid w:val="00690395"/>
    <w:rsid w:val="00696B7D"/>
    <w:rsid w:val="006B741B"/>
    <w:rsid w:val="00714BCB"/>
    <w:rsid w:val="00725385"/>
    <w:rsid w:val="00740BBE"/>
    <w:rsid w:val="007544FD"/>
    <w:rsid w:val="00755214"/>
    <w:rsid w:val="00774A1E"/>
    <w:rsid w:val="007D195C"/>
    <w:rsid w:val="007F76BA"/>
    <w:rsid w:val="0083727F"/>
    <w:rsid w:val="008E4022"/>
    <w:rsid w:val="00931DD5"/>
    <w:rsid w:val="00A10C89"/>
    <w:rsid w:val="00A87873"/>
    <w:rsid w:val="00B06928"/>
    <w:rsid w:val="00BF2065"/>
    <w:rsid w:val="00C75CC1"/>
    <w:rsid w:val="00D12446"/>
    <w:rsid w:val="00D40055"/>
    <w:rsid w:val="00E06AC1"/>
    <w:rsid w:val="00EB3296"/>
    <w:rsid w:val="00F11D39"/>
    <w:rsid w:val="00F3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0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webSettings" Target="webSetting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B27C9-82AC-482A-838C-C15920D1C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21</cp:revision>
  <dcterms:created xsi:type="dcterms:W3CDTF">2016-03-23T07:03:00Z</dcterms:created>
  <dcterms:modified xsi:type="dcterms:W3CDTF">2016-04-08T09:17:00Z</dcterms:modified>
</cp:coreProperties>
</file>