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31.05.2018 N 344н</w:t>
              <w:br/>
              <w:t xml:space="preserve">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        <w:br/>
              <w:t xml:space="preserve">(Зарегистрировано в Минюсте России 11.10.2018 N 52409)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октября 2018 г. N 52409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мая 2018 г. N 344н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ЕДИНОГО ПОРЯДКА</w:t>
      </w:r>
    </w:p>
    <w:p>
      <w:pPr>
        <w:pStyle w:val="2"/>
        <w:jc w:val="center"/>
      </w:pPr>
      <w:r>
        <w:rPr>
          <w:sz w:val="20"/>
        </w:rPr>
        <w:t xml:space="preserve">РАСЧЕТА ПОКАЗАТЕЛЕЙ, ХАРАКТЕРИЗУЮЩИХ ОБЩИЕ КРИТЕРИИ ОЦЕНКИ</w:t>
      </w:r>
    </w:p>
    <w:p>
      <w:pPr>
        <w:pStyle w:val="2"/>
        <w:jc w:val="center"/>
      </w:pPr>
      <w:r>
        <w:rPr>
          <w:sz w:val="20"/>
        </w:rPr>
        <w:t xml:space="preserve">КАЧЕСТВА УСЛОВИЙ ОКАЗАНИЯ УСЛУГ ОРГАНИЗАЦИЯМИ В СФЕРЕ</w:t>
      </w:r>
    </w:p>
    <w:p>
      <w:pPr>
        <w:pStyle w:val="2"/>
        <w:jc w:val="center"/>
      </w:pPr>
      <w:r>
        <w:rPr>
          <w:sz w:val="20"/>
        </w:rPr>
        <w:t xml:space="preserve">КУЛЬТУРЫ, ОХРАНЫ ЗДОРОВЬЯ, ОБРАЗОВАНИЯ, СОЦИАЛЬНОГО</w:t>
      </w:r>
    </w:p>
    <w:p>
      <w:pPr>
        <w:pStyle w:val="2"/>
        <w:jc w:val="center"/>
      </w:pPr>
      <w:r>
        <w:rPr>
          <w:sz w:val="20"/>
        </w:rPr>
        <w:t xml:space="preserve">ОБСЛУЖИВАНИЯ И ФЕДЕРАЛЬНЫМИ УЧРЕЖДЕНИЯМИ</w:t>
      </w:r>
    </w:p>
    <w:p>
      <w:pPr>
        <w:pStyle w:val="2"/>
        <w:jc w:val="center"/>
      </w:pPr>
      <w:r>
        <w:rPr>
          <w:sz w:val="20"/>
        </w:rPr>
        <w:t xml:space="preserve">МЕДИКО-СОЦИАЛЬНОЙ ЭКСПЕРТИЗЫ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методического обеспечения проведения независимой оценки качества условий оказания услуг организациями социальной сферы и в соответствии с </w:t>
      </w:r>
      <w:hyperlink w:history="0" r:id="rId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 {КонсультантПлюс}">
        <w:r>
          <w:rPr>
            <w:sz w:val="20"/>
            <w:color w:val="0000ff"/>
          </w:rPr>
          <w:t xml:space="preserve">частью 2 статьи 12</w:t>
        </w:r>
      </w:hyperlink>
      <w:r>
        <w:rPr>
          <w:sz w:val="20"/>
        </w:rP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Единый </w:t>
      </w:r>
      <w:hyperlink w:history="0" w:anchor="P30" w:tooltip="ЕДИНЫЙ 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М.А.ТОПИЛИН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Минтруда России</w:t>
      </w:r>
    </w:p>
    <w:p>
      <w:pPr>
        <w:pStyle w:val="0"/>
        <w:jc w:val="right"/>
      </w:pPr>
      <w:r>
        <w:rPr>
          <w:sz w:val="20"/>
        </w:rPr>
        <w:t xml:space="preserve">от 31 мая 2018 г. N 344н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ЕДИНЫЙ ПОРЯДОК</w:t>
      </w:r>
    </w:p>
    <w:p>
      <w:pPr>
        <w:pStyle w:val="2"/>
        <w:jc w:val="center"/>
      </w:pPr>
      <w:r>
        <w:rPr>
          <w:sz w:val="20"/>
        </w:rPr>
        <w:t xml:space="preserve">РАСЧЕТА ПОКАЗАТЕЛЕЙ, ХАРАКТЕРИЗУЮЩИХ ОБЩИЕ КРИТЕРИИ ОЦЕНКИ</w:t>
      </w:r>
    </w:p>
    <w:p>
      <w:pPr>
        <w:pStyle w:val="2"/>
        <w:jc w:val="center"/>
      </w:pPr>
      <w:r>
        <w:rPr>
          <w:sz w:val="20"/>
        </w:rPr>
        <w:t xml:space="preserve">КАЧЕСТВА УСЛОВИЙ ОКАЗАНИЯ УСЛУГ ОРГАНИЗАЦИЯМИ В СФЕРЕ</w:t>
      </w:r>
    </w:p>
    <w:p>
      <w:pPr>
        <w:pStyle w:val="2"/>
        <w:jc w:val="center"/>
      </w:pPr>
      <w:r>
        <w:rPr>
          <w:sz w:val="20"/>
        </w:rPr>
        <w:t xml:space="preserve">КУЛЬТУРЫ, ОХРАНЫ ЗДОРОВЬЯ, ОБРАЗОВАНИЯ, СОЦИАЛЬНОГО</w:t>
      </w:r>
    </w:p>
    <w:p>
      <w:pPr>
        <w:pStyle w:val="2"/>
        <w:jc w:val="center"/>
      </w:pPr>
      <w:r>
        <w:rPr>
          <w:sz w:val="20"/>
        </w:rPr>
        <w:t xml:space="preserve">ОБСЛУЖИВАНИЯ И ФЕДЕРАЛЬНЫМИ УЧРЕЖДЕНИЯМИ</w:t>
      </w:r>
    </w:p>
    <w:p>
      <w:pPr>
        <w:pStyle w:val="2"/>
        <w:jc w:val="center"/>
      </w:pPr>
      <w:r>
        <w:rPr>
          <w:sz w:val="20"/>
        </w:rPr>
        <w:t xml:space="preserve">МЕДИКО-СОЦИАЛЬНОЙ ЭКСПЕРТИЗЫ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</w:t>
      </w:r>
      <w:hyperlink w:history="0" r:id="rId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 {КонсультантПлюс}">
        <w:r>
          <w:rPr>
            <w:sz w:val="20"/>
            <w:color w:val="0000ff"/>
          </w:rPr>
          <w:t xml:space="preserve">частью 2 статьи 12</w:t>
        </w:r>
      </w:hyperlink>
      <w:r>
        <w:rPr>
          <w:sz w:val="20"/>
        </w:rP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Показатели, характеризующие общие критерии оценки качества условий оказания услуг организациями социальной сферы (далее соответственно - показатели оценки качества, критерии оценки качества), установлены: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сфере культуры - </w:t>
      </w:r>
      <w:hyperlink w:history="0" r:id="rId9" w:tooltip="Приказ Минкультуры России от 27.04.2018 N 599 &quot;Об утверждении показателей, характеризующих общие критерии оценки качества условий оказания услуг организациями культуры&quot; (Зарегистрировано в Минюсте России 18.05.2018 N 511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культуры Российской Федерации от 27 апреля 2018 г. N 599 "Об утверждении показателей, характеризующих общие критерии оценки качества условий оказания услуг организациями культуры" (зарегистрирован Министерством юстиции Российской Федерации 18 мая 2018 г., регистрационный N 51132);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сфере охраны здоровья - </w:t>
      </w:r>
      <w:hyperlink w:history="0" r:id="rId10" w:tooltip="Приказ Минздрава России от 04.05.2018 N 201н &quot;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&quot; (Зарегистрировано в Минюсте России 23.05.2018 N 5115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4 мая 2018 г. N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 (зарегистрирован Министерством юстиции Российской Федерации 23 мая 2018 г., регистрационный N 51156);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сфере образования - </w:t>
      </w:r>
      <w:hyperlink w:history="0" r:id="rId11" w:tooltip="Приказ Минобрнауки России от 05.12.2014 N 1547 &quot;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&quot; (Зарегистрировано в Минюсте России 02.02.2015 N 35837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Российской Федерации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 Министерством юстиции Российской Федерации 2 февраля 2015 г., регистрационный N 35837);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сфере социального обслуживания - </w:t>
      </w:r>
      <w:hyperlink w:history="0" r:id="rId12" w:tooltip="Приказ Минтруда России от 23.05.2018 N 317н &quot;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&quot; (Зарегистрировано в Минюсте России 14.06.2018 N 5134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Значения показателей оценки качества рассчитываются в баллах и их максимально возможное значение составляет 100 баллов: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каждого показателя оценки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целом по отрасли, муниципальному образованию, субъекту Российской Федерации, Российской Федерации.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(П</w:t>
      </w:r>
      <w:r>
        <w:rPr>
          <w:sz w:val="20"/>
          <w:vertAlign w:val="subscript"/>
        </w:rPr>
        <w:t xml:space="preserve">инф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6"/>
        </w:rPr>
        <w:drawing>
          <wp:inline distT="0" distB="0" distL="0" distR="0">
            <wp:extent cx="2276475" cy="4572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</w:t>
      </w:r>
      <w:r>
        <w:rPr>
          <w:sz w:val="20"/>
          <w:vertAlign w:val="subscript"/>
        </w:rPr>
        <w:t xml:space="preserve">стенд</w:t>
      </w:r>
      <w:r>
        <w:rPr>
          <w:sz w:val="20"/>
        </w:rPr>
        <w:t xml:space="preserve"> - объем информации, размещенной на информационных стендах в помещении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</w:t>
      </w:r>
      <w:r>
        <w:rPr>
          <w:sz w:val="20"/>
          <w:vertAlign w:val="subscript"/>
        </w:rPr>
        <w:t xml:space="preserve">сайт</w:t>
      </w:r>
      <w:r>
        <w:rPr>
          <w:sz w:val="20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</w:t>
      </w:r>
      <w:r>
        <w:rPr>
          <w:sz w:val="20"/>
          <w:vertAlign w:val="subscript"/>
        </w:rPr>
        <w:t xml:space="preserve">норм</w:t>
      </w:r>
      <w:r>
        <w:rPr>
          <w:sz w:val="20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значение показателя оценки качества "Наличие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функционирование" (П</w:t>
      </w:r>
      <w:r>
        <w:rPr>
          <w:sz w:val="20"/>
          <w:vertAlign w:val="subscript"/>
        </w:rPr>
        <w:t xml:space="preserve">дист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</w:t>
      </w:r>
      <w:r>
        <w:rPr>
          <w:sz w:val="20"/>
          <w:vertAlign w:val="subscript"/>
        </w:rPr>
        <w:t xml:space="preserve">дист</w:t>
      </w:r>
      <w:r>
        <w:rPr>
          <w:sz w:val="20"/>
        </w:rPr>
        <w:t xml:space="preserve"> = Т</w:t>
      </w:r>
      <w:r>
        <w:rPr>
          <w:sz w:val="20"/>
          <w:vertAlign w:val="subscript"/>
        </w:rPr>
        <w:t xml:space="preserve">дист</w:t>
      </w:r>
      <w:r>
        <w:rPr>
          <w:sz w:val="20"/>
        </w:rPr>
        <w:t xml:space="preserve"> x С</w:t>
      </w:r>
      <w:r>
        <w:rPr>
          <w:sz w:val="20"/>
          <w:vertAlign w:val="subscript"/>
        </w:rPr>
        <w:t xml:space="preserve">дист</w:t>
      </w:r>
      <w:r>
        <w:rPr>
          <w:sz w:val="20"/>
        </w:rPr>
        <w:t xml:space="preserve">, (1.2)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</w:t>
      </w:r>
      <w:r>
        <w:rPr>
          <w:sz w:val="20"/>
          <w:vertAlign w:val="subscript"/>
        </w:rPr>
        <w:t xml:space="preserve">дист</w:t>
      </w:r>
      <w:r>
        <w:rPr>
          <w:sz w:val="20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дист</w:t>
      </w:r>
      <w:r>
        <w:rPr>
          <w:sz w:val="20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(П</w:t>
      </w:r>
      <w:r>
        <w:rPr>
          <w:sz w:val="20"/>
          <w:vertAlign w:val="superscript"/>
        </w:rPr>
        <w:t xml:space="preserve">откр</w:t>
      </w:r>
      <w:r>
        <w:rPr>
          <w:sz w:val="20"/>
          <w:vertAlign w:val="subscript"/>
        </w:rPr>
        <w:t xml:space="preserve">уд</w:t>
      </w:r>
      <w:r>
        <w:rPr>
          <w:sz w:val="20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6"/>
        </w:rPr>
        <w:drawing>
          <wp:inline distT="0" distB="0" distL="0" distR="0">
            <wp:extent cx="2390775" cy="4572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bscript"/>
        </w:rPr>
        <w:t xml:space="preserve">стенд</w:t>
      </w:r>
      <w:r>
        <w:rPr>
          <w:sz w:val="20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bscript"/>
        </w:rPr>
        <w:t xml:space="preserve">сайт</w:t>
      </w:r>
      <w:r>
        <w:rPr>
          <w:sz w:val="20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общее число опрошенных получателей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значение показателя оценки качества "Обеспечение в организации социальной сферы комфортных условий предоставления услуг" (П</w:t>
      </w:r>
      <w:r>
        <w:rPr>
          <w:sz w:val="20"/>
          <w:vertAlign w:val="subscript"/>
        </w:rPr>
        <w:t xml:space="preserve">комф.усл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</w:t>
      </w:r>
      <w:r>
        <w:rPr>
          <w:sz w:val="20"/>
          <w:vertAlign w:val="subscript"/>
        </w:rPr>
        <w:t xml:space="preserve">комф.усл</w:t>
      </w:r>
      <w:r>
        <w:rPr>
          <w:sz w:val="20"/>
        </w:rPr>
        <w:t xml:space="preserve"> = Т</w:t>
      </w:r>
      <w:r>
        <w:rPr>
          <w:sz w:val="20"/>
          <w:vertAlign w:val="subscript"/>
        </w:rPr>
        <w:t xml:space="preserve">комф</w:t>
      </w:r>
      <w:r>
        <w:rPr>
          <w:sz w:val="20"/>
        </w:rPr>
        <w:t xml:space="preserve"> x С</w:t>
      </w:r>
      <w:r>
        <w:rPr>
          <w:sz w:val="20"/>
          <w:vertAlign w:val="subscript"/>
        </w:rPr>
        <w:t xml:space="preserve">комф</w:t>
      </w:r>
      <w:r>
        <w:rPr>
          <w:sz w:val="20"/>
        </w:rPr>
        <w:t xml:space="preserve">, (2.1)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</w:t>
      </w:r>
      <w:r>
        <w:rPr>
          <w:sz w:val="20"/>
          <w:vertAlign w:val="subscript"/>
        </w:rPr>
        <w:t xml:space="preserve">комф</w:t>
      </w:r>
      <w:r>
        <w:rPr>
          <w:sz w:val="20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комф</w:t>
      </w:r>
      <w:r>
        <w:rPr>
          <w:sz w:val="20"/>
        </w:rPr>
        <w:t xml:space="preserve"> - количество комфортных условий предоставления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значение показателя оценки качества "Время ожидания предоставления услуги &lt;1&gt; (среднее время ожидания и своевременность предоставления услуги" (П</w:t>
      </w:r>
      <w:r>
        <w:rPr>
          <w:sz w:val="20"/>
          <w:vertAlign w:val="subscript"/>
        </w:rPr>
        <w:t xml:space="preserve">ожид</w:t>
      </w:r>
      <w:r>
        <w:rPr>
          <w:sz w:val="20"/>
        </w:rPr>
        <w:t xml:space="preserve">) определяется: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Показатель применяется для оценки организаций в сфере охраны здоровья, социального обслуживания и федеральных учреждений медико-социальной экспертизы - </w:t>
      </w:r>
      <w:hyperlink w:history="0" r:id="rId15" w:tooltip="Федеральный закон от 21.11.2011 N 323-ФЗ (ред. от 08.08.2024) &quot;Об основах охраны здоровья граждан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статья 79.1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w:history="0" r:id="rId16" w:tooltip="Федеральный закон от 28.12.2013 N 442-ФЗ (ред. от 25.12.2023)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статья 23.1</w:t>
        </w:r>
      </w:hyperlink>
      <w:r>
        <w:rPr>
          <w:sz w:val="20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w:history="0" r:id="rId17" w:tooltip="Федеральный закон от 24.11.1995 N 181-ФЗ (ред. от 29.05.2024) &quot;О социальной защите инвалидов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статья 8.1</w:t>
        </w:r>
      </w:hyperlink>
      <w:r>
        <w:rPr>
          <w:sz w:val="20"/>
        </w:rPr>
        <w:t xml:space="preserve"> Федерального закона от 24 ноября 1995 г. N 181ФЗ "О социальной защите инвалидов в Российской Федерации" (Собрание законодательства Российской Федерации, 1995, N 48, ст. 4563; 2017, N 50, ст. 7563).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2581275" cy="471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ожид</w:t>
      </w:r>
      <w:r>
        <w:rPr>
          <w:sz w:val="20"/>
        </w:rPr>
        <w:t xml:space="preserve"> - среднее время ожидания предоставления услуги, выраженное в баллах: превышает установленный срок ожидания &lt;2&gt;,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на </w:t>
      </w:r>
      <w:r>
        <w:rPr>
          <w:position w:val="-14"/>
        </w:rPr>
        <w:drawing>
          <wp:inline distT="0" distB="0" distL="0" distR="0">
            <wp:extent cx="228600" cy="3048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срока - 100 баллов);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сфере охраны здоровья срок ожидания установлен в </w:t>
      </w:r>
      <w:hyperlink w:history="0" r:id="rId20" w:tooltip="Постановление Правительства РФ от 08.12.2017 N 1492 (ред. от 21.04.2018) &quot;О Программе государственных гарантий бесплатного оказания гражданам медицинской помощи на 2018 год и на плановый период 2019 и 2020 годов&quot; {КонсультантПлюс}">
        <w:r>
          <w:rPr>
            <w:sz w:val="20"/>
            <w:color w:val="0000ff"/>
          </w:rPr>
          <w:t xml:space="preserve">разделе VIII</w:t>
        </w:r>
      </w:hyperlink>
      <w:r>
        <w:rPr>
          <w:sz w:val="20"/>
        </w:rP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декабря 2017 г. N 1492 (Собрание законодательства Российской Федерации, 2017, N 51, ст. 7806; 2018, N 18, ст. 2639).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perscript"/>
        </w:rPr>
        <w:t xml:space="preserve">своевр</w:t>
      </w:r>
      <w:r>
        <w:rPr>
          <w:sz w:val="20"/>
        </w:rPr>
        <w:t xml:space="preserve"> - число получателей услуг, которым услуга предоставлена своевременно;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общее число опрошенных получателей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применения только одного условия оценки качества, в расчете учитывается один из них: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</w:t>
      </w:r>
      <w:r>
        <w:rPr>
          <w:sz w:val="20"/>
          <w:vertAlign w:val="subscript"/>
        </w:rPr>
        <w:t xml:space="preserve">ожид</w:t>
      </w:r>
      <w:r>
        <w:rPr>
          <w:sz w:val="20"/>
        </w:rPr>
        <w:t xml:space="preserve"> = С</w:t>
      </w:r>
      <w:r>
        <w:rPr>
          <w:sz w:val="20"/>
          <w:vertAlign w:val="subscript"/>
        </w:rPr>
        <w:t xml:space="preserve">ожид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или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1476375" cy="471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значение показателя оценки качества "Доля получателей услуг, удовлетворенных комфортностью предоставления услуг организацией социальной сферы" (П</w:t>
      </w:r>
      <w:r>
        <w:rPr>
          <w:sz w:val="20"/>
          <w:vertAlign w:val="superscript"/>
        </w:rPr>
        <w:t xml:space="preserve">комф</w:t>
      </w:r>
      <w:r>
        <w:rPr>
          <w:sz w:val="20"/>
          <w:vertAlign w:val="subscript"/>
        </w:rPr>
        <w:t xml:space="preserve">уд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1857375" cy="471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perscript"/>
        </w:rPr>
        <w:t xml:space="preserve">комф</w:t>
      </w:r>
      <w:r>
        <w:rPr>
          <w:sz w:val="20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общее число опрошенных получателей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Расчет показателей, характеризующих критерий оценки качества "Доступность услуг для инвалидов":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(П</w:t>
      </w:r>
      <w:r>
        <w:rPr>
          <w:sz w:val="20"/>
          <w:vertAlign w:val="superscript"/>
        </w:rPr>
        <w:t xml:space="preserve">орг</w:t>
      </w:r>
      <w:r>
        <w:rPr>
          <w:sz w:val="20"/>
          <w:vertAlign w:val="subscript"/>
        </w:rPr>
        <w:t xml:space="preserve">дост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8"/>
        </w:rPr>
        <w:drawing>
          <wp:inline distT="0" distB="0" distL="0" distR="0">
            <wp:extent cx="206692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</w:t>
      </w:r>
      <w:r>
        <w:rPr>
          <w:sz w:val="20"/>
          <w:vertAlign w:val="superscript"/>
        </w:rPr>
        <w:t xml:space="preserve">орг</w:t>
      </w:r>
      <w:r>
        <w:rPr>
          <w:sz w:val="20"/>
          <w:vertAlign w:val="subscript"/>
        </w:rPr>
        <w:t xml:space="preserve">дост</w:t>
      </w:r>
      <w:r>
        <w:rPr>
          <w:sz w:val="20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perscript"/>
        </w:rPr>
        <w:t xml:space="preserve">орг</w:t>
      </w:r>
      <w:r>
        <w:rPr>
          <w:sz w:val="20"/>
          <w:vertAlign w:val="subscript"/>
        </w:rPr>
        <w:t xml:space="preserve">дост</w:t>
      </w:r>
      <w:r>
        <w:rPr>
          <w:sz w:val="20"/>
        </w:rPr>
        <w:t xml:space="preserve"> - количество условий доступности организации для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(П</w:t>
      </w:r>
      <w:r>
        <w:rPr>
          <w:sz w:val="20"/>
          <w:vertAlign w:val="superscript"/>
        </w:rPr>
        <w:t xml:space="preserve">услуг</w:t>
      </w:r>
      <w:r>
        <w:rPr>
          <w:sz w:val="20"/>
          <w:vertAlign w:val="subscript"/>
        </w:rPr>
        <w:t xml:space="preserve">дост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8"/>
        </w:rPr>
        <w:drawing>
          <wp:inline distT="0" distB="0" distL="0" distR="0">
            <wp:extent cx="2314575" cy="240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</w:t>
      </w:r>
      <w:r>
        <w:rPr>
          <w:sz w:val="20"/>
          <w:vertAlign w:val="superscript"/>
        </w:rPr>
        <w:t xml:space="preserve">услуг</w:t>
      </w:r>
      <w:r>
        <w:rPr>
          <w:sz w:val="20"/>
          <w:vertAlign w:val="subscript"/>
        </w:rPr>
        <w:t xml:space="preserve">дост</w:t>
      </w:r>
      <w:r>
        <w:rPr>
          <w:sz w:val="20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perscript"/>
        </w:rPr>
        <w:t xml:space="preserve">услуг</w:t>
      </w:r>
      <w:r>
        <w:rPr>
          <w:sz w:val="20"/>
          <w:vertAlign w:val="subscript"/>
        </w:rPr>
        <w:t xml:space="preserve">дост</w:t>
      </w:r>
      <w:r>
        <w:rPr>
          <w:sz w:val="20"/>
        </w:rPr>
        <w:t xml:space="preserve"> - количество условий доступности, позволяющих инвалидам получать услуги наравне с другими.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значение показателя оценки качества "Доля получателей услуг, удовлетворенных доступностью услуг для инвалидов" (П</w:t>
      </w:r>
      <w:r>
        <w:rPr>
          <w:sz w:val="20"/>
          <w:vertAlign w:val="superscript"/>
        </w:rPr>
        <w:t xml:space="preserve">дост</w:t>
      </w:r>
      <w:r>
        <w:rPr>
          <w:sz w:val="20"/>
          <w:vertAlign w:val="subscript"/>
        </w:rPr>
        <w:t xml:space="preserve">уд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6"/>
        </w:rPr>
        <w:drawing>
          <wp:inline distT="0" distB="0" distL="0" distR="0">
            <wp:extent cx="1876425" cy="4572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perscript"/>
        </w:rPr>
        <w:t xml:space="preserve">дост</w:t>
      </w:r>
      <w:r>
        <w:rPr>
          <w:sz w:val="20"/>
        </w:rPr>
        <w:t xml:space="preserve"> - число получателей услуг - инвалидов, удовлетворенных доступностью услуг для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инв</w:t>
      </w:r>
      <w:r>
        <w:rPr>
          <w:sz w:val="20"/>
        </w:rPr>
        <w:t xml:space="preserve"> - число опрошенных получателей услуг -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(П</w:t>
      </w:r>
      <w:r>
        <w:rPr>
          <w:sz w:val="20"/>
          <w:vertAlign w:val="superscript"/>
        </w:rPr>
        <w:t xml:space="preserve">перв.конт</w:t>
      </w:r>
      <w:r>
        <w:rPr>
          <w:sz w:val="20"/>
          <w:vertAlign w:val="subscript"/>
        </w:rPr>
        <w:t xml:space="preserve">уд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2276475" cy="471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perscript"/>
        </w:rPr>
        <w:t xml:space="preserve">перв.конт</w:t>
      </w:r>
      <w:r>
        <w:rPr>
          <w:sz w:val="20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общее число опрошенных получателей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(П</w:t>
      </w:r>
      <w:r>
        <w:rPr>
          <w:sz w:val="20"/>
          <w:vertAlign w:val="superscript"/>
        </w:rPr>
        <w:t xml:space="preserve">оказ.услуг</w:t>
      </w:r>
      <w:r>
        <w:rPr>
          <w:sz w:val="20"/>
          <w:vertAlign w:val="subscript"/>
        </w:rPr>
        <w:t xml:space="preserve">уд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2314575" cy="471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perscript"/>
        </w:rPr>
        <w:t xml:space="preserve">оказ.услуг</w:t>
      </w:r>
      <w:r>
        <w:rPr>
          <w:sz w:val="20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общее число опрошенных получателей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(П</w:t>
      </w:r>
      <w:r>
        <w:rPr>
          <w:sz w:val="20"/>
          <w:vertAlign w:val="superscript"/>
        </w:rPr>
        <w:t xml:space="preserve">вежл.дист</w:t>
      </w:r>
      <w:r>
        <w:rPr>
          <w:sz w:val="20"/>
          <w:vertAlign w:val="subscript"/>
        </w:rPr>
        <w:t xml:space="preserve">уд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2295525" cy="471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perscript"/>
        </w:rPr>
        <w:t xml:space="preserve">вежл.дист</w:t>
      </w:r>
      <w:r>
        <w:rPr>
          <w:sz w:val="20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общее число опрошенных получателей услуг.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Расчет показателей, характеризующих критерий оценки качества "Удовлетворенность условиями оказания услуг":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сферы)" (П</w:t>
      </w:r>
      <w:r>
        <w:rPr>
          <w:sz w:val="20"/>
          <w:vertAlign w:val="subscript"/>
        </w:rPr>
        <w:t xml:space="preserve">реком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1905000" cy="471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bscript"/>
        </w:rPr>
        <w:t xml:space="preserve">реком</w:t>
      </w:r>
      <w:r>
        <w:rPr>
          <w:sz w:val="20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общее число опрошенных получателей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значение показателя оценки качества "Доля получателей услуг, удовлетворенных организационными условиями предоставления услуг" (П</w:t>
      </w:r>
      <w:r>
        <w:rPr>
          <w:sz w:val="20"/>
          <w:vertAlign w:val="superscript"/>
        </w:rPr>
        <w:t xml:space="preserve">орг.усл</w:t>
      </w:r>
      <w:r>
        <w:rPr>
          <w:sz w:val="20"/>
          <w:vertAlign w:val="subscript"/>
        </w:rPr>
        <w:t xml:space="preserve">уд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2085975" cy="471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perscript"/>
        </w:rPr>
        <w:t xml:space="preserve">орг.усл</w:t>
      </w:r>
      <w:r>
        <w:rPr>
          <w:sz w:val="20"/>
        </w:rPr>
        <w:t xml:space="preserve"> - число получателей услуг, удовлетворенных организационными условиями предоставления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общее число опрошенных получателей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>
        <w:rPr>
          <w:sz w:val="20"/>
          <w:vertAlign w:val="subscript"/>
        </w:rPr>
        <w:t xml:space="preserve">уд</w:t>
      </w:r>
      <w:r>
        <w:rPr>
          <w:sz w:val="20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1685925" cy="471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bscript"/>
        </w:rPr>
        <w:t xml:space="preserve">уд</w:t>
      </w:r>
      <w:r>
        <w:rPr>
          <w:sz w:val="20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общее число опрошенных получателей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Показатели оценки качества условий оказания услуг организациями социальной сферы, рассчитываются: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организации социальной сферы, в отношении которой проведена независимая оценка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&lt;3&gt; в отношении которых проведена независимая оценка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В соответствии со </w:t>
      </w:r>
      <w:hyperlink w:history="0" r:id="rId32" w:tooltip="&quot;Основы законодательства Российской Федерации о культуре&quot; (утв. ВС РФ 09.10.1992 N 3612-1) (ред. от 10.07.2023) (с изм. и доп., вступ. в силу с 22.12.2023) {КонсультантПлюс}">
        <w:r>
          <w:rPr>
            <w:sz w:val="20"/>
            <w:color w:val="0000ff"/>
          </w:rPr>
          <w:t xml:space="preserve">статьей 36.1</w:t>
        </w:r>
      </w:hyperlink>
      <w:r>
        <w:rPr>
          <w:sz w:val="20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w:history="0" r:id="rId33" w:tooltip="Федеральный закон от 21.11.2011 N 323-ФЗ (ред. от 08.08.2024) &quot;Об основах охраны здоровья граждан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79.1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w:history="0" r:id="rId34" w:tooltip="Федеральный закон от 29.12.2012 N 273-ФЗ (ред. от 08.08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95.2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w:history="0" r:id="rId35" w:tooltip="Федеральный закон от 28.12.2013 N 442-ФЗ (ред. от 25.12.2023)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статьей 23.1</w:t>
        </w:r>
      </w:hyperlink>
      <w:r>
        <w:rPr>
          <w:sz w:val="20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1257300" cy="259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n</w:t>
      </w:r>
      <w:r>
        <w:rPr>
          <w:sz w:val="20"/>
        </w:rPr>
        <w:t xml:space="preserve"> - показатель оценки качества n-ой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</w:t>
      </w:r>
      <w:r>
        <w:rPr>
          <w:sz w:val="20"/>
          <w:vertAlign w:val="superscript"/>
        </w:rPr>
        <w:t xml:space="preserve">m</w:t>
      </w:r>
      <w:r>
        <w:rPr>
          <w:sz w:val="20"/>
          <w:vertAlign w:val="subscript"/>
        </w:rPr>
        <w:t xml:space="preserve">n</w:t>
      </w:r>
      <w:r>
        <w:rPr>
          <w:sz w:val="20"/>
        </w:rPr>
        <w:t xml:space="preserve"> - средневзвешенная сумма показателей, характеризующих m-ый критерий оценки качества в n-ой организации &lt;4&gt;, рассчитываемая по формулам: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n-ой организации на основе измеряемых критериев по формуле: K</w:t>
      </w:r>
      <w:r>
        <w:rPr>
          <w:sz w:val="20"/>
          <w:vertAlign w:val="superscript"/>
        </w:rPr>
        <w:t xml:space="preserve">2,4,5</w:t>
      </w:r>
      <w:r>
        <w:rPr>
          <w:sz w:val="20"/>
          <w:vertAlign w:val="subscript"/>
        </w:rPr>
        <w:t xml:space="preserve">n</w:t>
      </w:r>
      <w:r>
        <w:rPr>
          <w:sz w:val="20"/>
        </w:rPr>
        <w:t xml:space="preserve"> = (К</w:t>
      </w:r>
      <w:r>
        <w:rPr>
          <w:sz w:val="20"/>
          <w:vertAlign w:val="superscript"/>
        </w:rPr>
        <w:t xml:space="preserve">1</w:t>
      </w:r>
      <w:r>
        <w:rPr>
          <w:sz w:val="20"/>
          <w:vertAlign w:val="subscript"/>
        </w:rPr>
        <w:t xml:space="preserve">n</w:t>
      </w:r>
      <w:r>
        <w:rPr>
          <w:sz w:val="20"/>
        </w:rPr>
        <w:t xml:space="preserve"> + К</w:t>
      </w:r>
      <w:r>
        <w:rPr>
          <w:sz w:val="20"/>
          <w:vertAlign w:val="superscript"/>
        </w:rPr>
        <w:t xml:space="preserve">3</w:t>
      </w:r>
      <w:r>
        <w:rPr>
          <w:sz w:val="20"/>
          <w:vertAlign w:val="subscript"/>
        </w:rPr>
        <w:t xml:space="preserve">n</w:t>
      </w:r>
      <w:r>
        <w:rPr>
          <w:sz w:val="20"/>
        </w:rPr>
        <w:t xml:space="preserve">) /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position w:val="-10"/>
        </w:rPr>
        <w:drawing>
          <wp:inline distT="0" distB="0" distL="0" distR="0">
            <wp:extent cx="3228975" cy="259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spacing w:before="200" w:line-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3495675" cy="259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spacing w:before="200" w:line-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3629025" cy="259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spacing w:before="200" w:line-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4105275" cy="259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spacing w:before="200" w:line-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3387090" cy="25463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</w:t>
      </w:r>
      <w:r>
        <w:rPr>
          <w:sz w:val="20"/>
          <w:vertAlign w:val="superscript"/>
        </w:rPr>
        <w:t xml:space="preserve">n</w:t>
      </w:r>
      <w:r>
        <w:rPr>
          <w:sz w:val="20"/>
          <w:vertAlign w:val="subscript"/>
        </w:rPr>
        <w:t xml:space="preserve">инф</w:t>
      </w:r>
      <w:r>
        <w:rPr>
          <w:sz w:val="20"/>
        </w:rPr>
        <w:t xml:space="preserve"> ... П</w:t>
      </w:r>
      <w:r>
        <w:rPr>
          <w:sz w:val="20"/>
          <w:vertAlign w:val="superscript"/>
        </w:rPr>
        <w:t xml:space="preserve">n</w:t>
      </w:r>
      <w:r>
        <w:rPr>
          <w:sz w:val="20"/>
          <w:vertAlign w:val="subscript"/>
        </w:rPr>
        <w:t xml:space="preserve">уд</w:t>
      </w:r>
      <w:r>
        <w:rPr>
          <w:sz w:val="20"/>
        </w:rP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w:history="0" w:anchor="P47" w:tooltip="4. Расчет показателей, характеризующих критерий оценки качества &quot;Открытость и доступность информации об организации социальной сферы&quot;: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- </w:t>
      </w:r>
      <w:hyperlink w:history="0" w:anchor="P153" w:tooltip="8. Расчет показателей, характеризующих критерий оценки качества &quot;Удовлетворенность условиями оказания услуг&quot;: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Единого порядка.</w:t>
      </w:r>
    </w:p>
    <w:bookmarkStart w:id="200" w:name="P200"/>
    <w:bookmarkEnd w:id="2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показатель оценки качества по отрасли социальной сферы в субъекте Российской Федерации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1438275" cy="259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perscript"/>
        </w:rPr>
        <w:t xml:space="preserve">ou</w:t>
      </w:r>
      <w:r>
        <w:rPr>
          <w:sz w:val="20"/>
        </w:rPr>
        <w:t xml:space="preserve"> - показатель оценки качества по o-й отрасли социальной сферы в u-м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perscript"/>
        </w:rPr>
        <w:t xml:space="preserve">ou</w:t>
      </w:r>
      <w:r>
        <w:rPr>
          <w:sz w:val="20"/>
          <w:vertAlign w:val="subscript"/>
        </w:rPr>
        <w:t xml:space="preserve">n</w:t>
      </w:r>
      <w:r>
        <w:rPr>
          <w:sz w:val="20"/>
        </w:rPr>
        <w:t xml:space="preserve"> - показатель оценки качества по n-ой организации o-й отрасли социальной сферы в u-м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perscript"/>
        </w:rPr>
        <w:t xml:space="preserve">ou</w:t>
      </w:r>
      <w:r>
        <w:rPr>
          <w:sz w:val="20"/>
        </w:rP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показатель оценки качества по отрасли социальной сферы по Российской Федерации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1209675" cy="259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perscript"/>
        </w:rPr>
        <w:t xml:space="preserve">o</w:t>
      </w:r>
      <w:r>
        <w:rPr>
          <w:sz w:val="20"/>
        </w:rPr>
        <w:t xml:space="preserve"> - показатель оценки качества для o-й отрасли в целом по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 - количество субъектов Российской Федерации, в которых проводилась независимая оценка качества в o-й отрасли.</w:t>
      </w:r>
    </w:p>
    <w:bookmarkStart w:id="215" w:name="P215"/>
    <w:bookmarkEnd w:id="2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- "результаты независимой оценки качества оказания услуг организациями социальной сферы" &lt;5&gt;) рассчитывается по формуле: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44" w:tooltip="Указ Президента РФ от 14.11.2017 N 548 &quot;Об оценке эффективности деятельности органов исполнительной власти субъектов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Пункт 24</w:t>
        </w:r>
      </w:hyperlink>
      <w:r>
        <w:rPr>
          <w:sz w:val="20"/>
        </w:rPr>
        <w:t xml:space="preserve"> Перечня показателей для оценки эффективности деятельности органов исполнительной власти субъектов Российской Федерации, утвержденного Указом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2018, N 20, ст. 2821).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1285875" cy="259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perscript"/>
        </w:rPr>
        <w:t xml:space="preserve">u</w:t>
      </w:r>
      <w:r>
        <w:rPr>
          <w:sz w:val="20"/>
        </w:rPr>
        <w:t xml:space="preserve"> - показатель оценки качества в u-ом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perscript"/>
        </w:rPr>
        <w:t xml:space="preserve">ou</w:t>
      </w:r>
      <w:r>
        <w:rPr>
          <w:sz w:val="20"/>
        </w:rPr>
        <w:t xml:space="preserve"> - показатель оценки качества по o-й отрасли социальной сферы в u-м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</w:t>
      </w:r>
      <w:r>
        <w:rPr>
          <w:sz w:val="20"/>
          <w:vertAlign w:val="subscript"/>
        </w:rPr>
        <w:t xml:space="preserve">u</w:t>
      </w:r>
      <w:r>
        <w:rPr>
          <w:sz w:val="20"/>
        </w:rP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показатель оценки качества в целом по Российской Федерации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1219200" cy="259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perscript"/>
        </w:rPr>
        <w:t xml:space="preserve">r</w:t>
      </w:r>
      <w:r>
        <w:rPr>
          <w:sz w:val="20"/>
        </w:rPr>
        <w:t xml:space="preserve"> - показатель оценки качества в целом по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 - количество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"результаты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 за счет бюджетных ассигнований бюджетов муниципальных образований" &lt;6&gt;)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</w:t>
      </w:r>
      <w:hyperlink w:history="0" w:anchor="P200" w:tooltip="б) показатель оценки качества по отрасли социальной сферы в субъекте Российской Федерации рассчитывается по формуле: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215" w:tooltip="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- &quot;результаты независимой оценки качества оказания услуг организациями социальной сферы&quot; &lt;5&gt;) рассчитывается по формуле: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настоящего пункта Единого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47" w:tooltip="Указ Президента РФ от 28.04.2008 N 607 (ред. от 11.06.2021) &quot;Об оценке эффективности деятельности органов местного самоуправления муниципальных, городских округов и муниципальных районов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 учетом изменения, внесенного Указом Президента Российской Федерации от 9 мая 2018 г. N 212, вступающим в силу с 1 января 2019 г.) (Собрание законодательства Российской Федерации, 2008, N 18, ст. 2003; 2010, N 20, ст. 2432; 2012, N 43, ст. 5815; 2016, N 45, ст. 6240; 2018, N 20, ст. 2821).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31.05.2018 N 344н</w:t>
            <w:br/>
            <w:t>"Об утверждении Единого порядка расчета показателей, характеризующих общие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20801&amp;dst=100277" TargetMode = "External"/>
	<Relationship Id="rId8" Type="http://schemas.openxmlformats.org/officeDocument/2006/relationships/hyperlink" Target="https://login.consultant.ru/link/?req=doc&amp;base=LAW&amp;n=420801&amp;dst=100277" TargetMode = "External"/>
	<Relationship Id="rId9" Type="http://schemas.openxmlformats.org/officeDocument/2006/relationships/hyperlink" Target="https://login.consultant.ru/link/?req=doc&amp;base=LAW&amp;n=298376&amp;dst=100012" TargetMode = "External"/>
	<Relationship Id="rId10" Type="http://schemas.openxmlformats.org/officeDocument/2006/relationships/hyperlink" Target="https://login.consultant.ru/link/?req=doc&amp;base=LAW&amp;n=298636&amp;dst=100010" TargetMode = "External"/>
	<Relationship Id="rId11" Type="http://schemas.openxmlformats.org/officeDocument/2006/relationships/hyperlink" Target="https://login.consultant.ru/link/?req=doc&amp;base=LAW&amp;n=174924&amp;dst=100010" TargetMode = "External"/>
	<Relationship Id="rId12" Type="http://schemas.openxmlformats.org/officeDocument/2006/relationships/hyperlink" Target="https://login.consultant.ru/link/?req=doc&amp;base=LAW&amp;n=300165&amp;dst=100010" TargetMode = "External"/>
	<Relationship Id="rId13" Type="http://schemas.openxmlformats.org/officeDocument/2006/relationships/image" Target="media/image2.wmf"/>
	<Relationship Id="rId14" Type="http://schemas.openxmlformats.org/officeDocument/2006/relationships/image" Target="media/image3.wmf"/>
	<Relationship Id="rId15" Type="http://schemas.openxmlformats.org/officeDocument/2006/relationships/hyperlink" Target="https://login.consultant.ru/link/?req=doc&amp;base=LAW&amp;n=483031&amp;dst=296" TargetMode = "External"/>
	<Relationship Id="rId16" Type="http://schemas.openxmlformats.org/officeDocument/2006/relationships/hyperlink" Target="https://login.consultant.ru/link/?req=doc&amp;base=LAW&amp;n=460024&amp;dst=9" TargetMode = "External"/>
	<Relationship Id="rId17" Type="http://schemas.openxmlformats.org/officeDocument/2006/relationships/hyperlink" Target="https://login.consultant.ru/link/?req=doc&amp;base=LAW&amp;n=477409&amp;dst=354" TargetMode = "External"/>
	<Relationship Id="rId18" Type="http://schemas.openxmlformats.org/officeDocument/2006/relationships/image" Target="media/image4.wmf"/>
	<Relationship Id="rId19" Type="http://schemas.openxmlformats.org/officeDocument/2006/relationships/image" Target="media/image5.wmf"/>
	<Relationship Id="rId20" Type="http://schemas.openxmlformats.org/officeDocument/2006/relationships/hyperlink" Target="https://login.consultant.ru/link/?req=doc&amp;base=LAW&amp;n=296666&amp;dst=100209" TargetMode = "External"/>
	<Relationship Id="rId21" Type="http://schemas.openxmlformats.org/officeDocument/2006/relationships/image" Target="media/image6.wmf"/>
	<Relationship Id="rId22" Type="http://schemas.openxmlformats.org/officeDocument/2006/relationships/image" Target="media/image7.wmf"/>
	<Relationship Id="rId23" Type="http://schemas.openxmlformats.org/officeDocument/2006/relationships/image" Target="media/image8.wmf"/>
	<Relationship Id="rId24" Type="http://schemas.openxmlformats.org/officeDocument/2006/relationships/image" Target="media/image9.wmf"/>
	<Relationship Id="rId25" Type="http://schemas.openxmlformats.org/officeDocument/2006/relationships/image" Target="media/image10.wmf"/>
	<Relationship Id="rId26" Type="http://schemas.openxmlformats.org/officeDocument/2006/relationships/image" Target="media/image11.wmf"/>
	<Relationship Id="rId27" Type="http://schemas.openxmlformats.org/officeDocument/2006/relationships/image" Target="media/image12.wmf"/>
	<Relationship Id="rId28" Type="http://schemas.openxmlformats.org/officeDocument/2006/relationships/image" Target="media/image13.wmf"/>
	<Relationship Id="rId29" Type="http://schemas.openxmlformats.org/officeDocument/2006/relationships/image" Target="media/image14.wmf"/>
	<Relationship Id="rId30" Type="http://schemas.openxmlformats.org/officeDocument/2006/relationships/image" Target="media/image15.wmf"/>
	<Relationship Id="rId31" Type="http://schemas.openxmlformats.org/officeDocument/2006/relationships/image" Target="media/image16.wmf"/>
	<Relationship Id="rId32" Type="http://schemas.openxmlformats.org/officeDocument/2006/relationships/hyperlink" Target="https://login.consultant.ru/link/?req=doc&amp;base=LAW&amp;n=450445&amp;dst=197" TargetMode = "External"/>
	<Relationship Id="rId33" Type="http://schemas.openxmlformats.org/officeDocument/2006/relationships/hyperlink" Target="https://login.consultant.ru/link/?req=doc&amp;base=LAW&amp;n=483031&amp;dst=296" TargetMode = "External"/>
	<Relationship Id="rId34" Type="http://schemas.openxmlformats.org/officeDocument/2006/relationships/hyperlink" Target="https://login.consultant.ru/link/?req=doc&amp;base=LAW&amp;n=482648&amp;dst=121" TargetMode = "External"/>
	<Relationship Id="rId35" Type="http://schemas.openxmlformats.org/officeDocument/2006/relationships/hyperlink" Target="https://login.consultant.ru/link/?req=doc&amp;base=LAW&amp;n=460024&amp;dst=9" TargetMode = "External"/>
	<Relationship Id="rId36" Type="http://schemas.openxmlformats.org/officeDocument/2006/relationships/image" Target="media/image17.wmf"/>
	<Relationship Id="rId37" Type="http://schemas.openxmlformats.org/officeDocument/2006/relationships/image" Target="media/image18.wmf"/>
	<Relationship Id="rId38" Type="http://schemas.openxmlformats.org/officeDocument/2006/relationships/image" Target="media/image19.wmf"/>
	<Relationship Id="rId39" Type="http://schemas.openxmlformats.org/officeDocument/2006/relationships/image" Target="media/image20.wmf"/>
	<Relationship Id="rId40" Type="http://schemas.openxmlformats.org/officeDocument/2006/relationships/image" Target="media/image21.wmf"/>
	<Relationship Id="rId41" Type="http://schemas.openxmlformats.org/officeDocument/2006/relationships/image" Target="media/image22.wmf"/>
	<Relationship Id="rId42" Type="http://schemas.openxmlformats.org/officeDocument/2006/relationships/image" Target="media/image23.wmf"/>
	<Relationship Id="rId43" Type="http://schemas.openxmlformats.org/officeDocument/2006/relationships/image" Target="media/image24.wmf"/>
	<Relationship Id="rId44" Type="http://schemas.openxmlformats.org/officeDocument/2006/relationships/hyperlink" Target="https://login.consultant.ru/link/?req=doc&amp;base=LAW&amp;n=282702&amp;dst=100057" TargetMode = "External"/>
	<Relationship Id="rId45" Type="http://schemas.openxmlformats.org/officeDocument/2006/relationships/image" Target="media/image25.wmf"/>
	<Relationship Id="rId46" Type="http://schemas.openxmlformats.org/officeDocument/2006/relationships/image" Target="media/image26.wmf"/>
	<Relationship Id="rId47" Type="http://schemas.openxmlformats.org/officeDocument/2006/relationships/hyperlink" Target="https://login.consultant.ru/link/?req=doc&amp;base=LAW&amp;n=38725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31.05.2018 N 344н
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
(Зарегистрировано в Минюсте России 11.10.2018 N 52409)</dc:title>
  <dcterms:created xsi:type="dcterms:W3CDTF">2024-09-05T09:07:21Z</dcterms:created>
</cp:coreProperties>
</file>